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89AB46" w14:textId="77777777" w:rsidR="001657AB" w:rsidRPr="001657AB" w:rsidRDefault="001657AB" w:rsidP="001657AB">
      <w:pPr>
        <w:widowControl/>
        <w:shd w:val="clear" w:color="auto" w:fill="FFFFFF"/>
        <w:spacing w:line="525" w:lineRule="atLeast"/>
        <w:jc w:val="center"/>
        <w:rPr>
          <w:rFonts w:ascii="宋体" w:eastAsia="宋体" w:hAnsi="宋体" w:cs="宋体"/>
          <w:b/>
          <w:bCs/>
          <w:color w:val="0C5CB1"/>
          <w:kern w:val="0"/>
          <w:sz w:val="36"/>
          <w:szCs w:val="36"/>
        </w:rPr>
      </w:pPr>
      <w:r w:rsidRPr="001657AB">
        <w:rPr>
          <w:rFonts w:ascii="宋体" w:eastAsia="宋体" w:hAnsi="宋体" w:cs="宋体" w:hint="eastAsia"/>
          <w:b/>
          <w:bCs/>
          <w:color w:val="0C5CB1"/>
          <w:kern w:val="0"/>
          <w:sz w:val="36"/>
          <w:szCs w:val="36"/>
        </w:rPr>
        <w:t>“投资者保护·明规则、识风险”案例——非合格投资者的“危险游戏”</w:t>
      </w:r>
    </w:p>
    <w:p w14:paraId="257CA21B" w14:textId="77777777" w:rsidR="001657AB" w:rsidRPr="001657AB" w:rsidRDefault="001657AB" w:rsidP="001657AB">
      <w:pPr>
        <w:widowControl/>
        <w:shd w:val="clear" w:color="auto" w:fill="FFFFFF"/>
        <w:spacing w:line="480" w:lineRule="auto"/>
        <w:jc w:val="center"/>
        <w:rPr>
          <w:rFonts w:ascii="宋体" w:eastAsia="宋体" w:hAnsi="宋体" w:cs="宋体"/>
          <w:color w:val="888888"/>
          <w:kern w:val="0"/>
          <w:szCs w:val="21"/>
        </w:rPr>
      </w:pPr>
      <w:r w:rsidRPr="001657AB">
        <w:rPr>
          <w:rFonts w:ascii="宋体" w:eastAsia="宋体" w:hAnsi="宋体" w:cs="宋体"/>
          <w:color w:val="888888"/>
          <w:kern w:val="0"/>
          <w:szCs w:val="21"/>
        </w:rPr>
        <w:t xml:space="preserve">中国证监会 www.csrc.gov.cn 时间：2017-09-15 来源： </w:t>
      </w:r>
    </w:p>
    <w:p w14:paraId="39639B15" w14:textId="77777777" w:rsidR="001657AB" w:rsidRPr="001657AB" w:rsidRDefault="001657AB" w:rsidP="001657AB">
      <w:pPr>
        <w:widowControl/>
        <w:shd w:val="clear" w:color="auto" w:fill="FFFFFF"/>
        <w:spacing w:line="480" w:lineRule="auto"/>
        <w:jc w:val="left"/>
        <w:rPr>
          <w:rFonts w:ascii="宋体" w:eastAsia="宋体" w:hAnsi="宋体" w:cs="宋体"/>
          <w:color w:val="333333"/>
          <w:kern w:val="0"/>
          <w:sz w:val="24"/>
          <w:szCs w:val="24"/>
        </w:rPr>
      </w:pPr>
      <w:r w:rsidRPr="001657AB">
        <w:rPr>
          <w:rFonts w:ascii="宋体" w:eastAsia="宋体" w:hAnsi="宋体" w:cs="宋体"/>
          <w:color w:val="333333"/>
          <w:kern w:val="0"/>
          <w:sz w:val="24"/>
          <w:szCs w:val="24"/>
        </w:rPr>
        <w:t xml:space="preserve">　　私募投资基金（以下简称私募基金），是指在中华人民共和国境内，以非公开方式向投资者募集资金设立的投资基金。私募基金的组织形式有契约型、公司型与合伙型。</w:t>
      </w:r>
    </w:p>
    <w:p w14:paraId="3D415417" w14:textId="77777777" w:rsidR="001657AB" w:rsidRPr="001657AB" w:rsidRDefault="001657AB" w:rsidP="001657AB">
      <w:pPr>
        <w:widowControl/>
        <w:shd w:val="clear" w:color="auto" w:fill="FFFFFF"/>
        <w:spacing w:line="480" w:lineRule="auto"/>
        <w:jc w:val="left"/>
        <w:rPr>
          <w:rFonts w:ascii="宋体" w:eastAsia="宋体" w:hAnsi="宋体" w:cs="宋体"/>
          <w:color w:val="333333"/>
          <w:kern w:val="0"/>
          <w:sz w:val="24"/>
          <w:szCs w:val="24"/>
        </w:rPr>
      </w:pPr>
      <w:r w:rsidRPr="001657AB">
        <w:rPr>
          <w:rFonts w:ascii="宋体" w:eastAsia="宋体" w:hAnsi="宋体" w:cs="宋体"/>
          <w:color w:val="333333"/>
          <w:kern w:val="0"/>
          <w:sz w:val="24"/>
          <w:szCs w:val="24"/>
        </w:rPr>
        <w:t xml:space="preserve">　　近年来，我国私募基金行业蓬勃发展，已成为支持多层次资本市场发展的重要力量，但非法集资、兑付危机、违规宣传、违反投资者适当性制度等风险事件也开始显露。其中，以金融创新名义，变相突破合格投资者底线标准的案例陆续涌现。由于证监会《私募投资基金监督管理暂行办法》（以下简称《私募办法》）明确规定了私募基金合格投资者的标准，即具备相应风险承受能力和风险承担能力，投资于单只私募基金的金额不低于100万元等，一些公司为规避监管规定，采用多种方式，试图突破合格投资者的相关标准。</w:t>
      </w:r>
    </w:p>
    <w:p w14:paraId="0E43B992" w14:textId="77777777" w:rsidR="001657AB" w:rsidRPr="001657AB" w:rsidRDefault="001657AB" w:rsidP="001657AB">
      <w:pPr>
        <w:widowControl/>
        <w:shd w:val="clear" w:color="auto" w:fill="FFFFFF"/>
        <w:spacing w:line="480" w:lineRule="auto"/>
        <w:jc w:val="left"/>
        <w:rPr>
          <w:rFonts w:ascii="宋体" w:eastAsia="宋体" w:hAnsi="宋体" w:cs="宋体"/>
          <w:color w:val="333333"/>
          <w:kern w:val="0"/>
          <w:sz w:val="24"/>
          <w:szCs w:val="24"/>
        </w:rPr>
      </w:pPr>
      <w:r w:rsidRPr="001657AB">
        <w:rPr>
          <w:rFonts w:ascii="宋体" w:eastAsia="宋体" w:hAnsi="宋体" w:cs="宋体"/>
          <w:color w:val="333333"/>
          <w:kern w:val="0"/>
          <w:sz w:val="24"/>
          <w:szCs w:val="24"/>
        </w:rPr>
        <w:t xml:space="preserve">　　以投资者王某的案例为例。2014年，某基金公司向王某销售了有限合伙型基金产品，王某实缴出资金额仅30万元，投资于单只私募基金的金额低于100万元。该基金公司向非合格投资者募集资金的行为违反了《私募办法》第十一条“私募基金应当向合格投资者募集”的规定，证监会决定给予警告，并处以顶格3万元罚款。</w:t>
      </w:r>
    </w:p>
    <w:p w14:paraId="5732C6E4" w14:textId="77777777" w:rsidR="001657AB" w:rsidRPr="001657AB" w:rsidRDefault="001657AB" w:rsidP="001657AB">
      <w:pPr>
        <w:widowControl/>
        <w:shd w:val="clear" w:color="auto" w:fill="FFFFFF"/>
        <w:spacing w:line="480" w:lineRule="auto"/>
        <w:jc w:val="left"/>
        <w:rPr>
          <w:rFonts w:ascii="宋体" w:eastAsia="宋体" w:hAnsi="宋体" w:cs="宋体"/>
          <w:color w:val="333333"/>
          <w:kern w:val="0"/>
          <w:sz w:val="24"/>
          <w:szCs w:val="24"/>
        </w:rPr>
      </w:pPr>
      <w:r w:rsidRPr="001657AB">
        <w:rPr>
          <w:rFonts w:ascii="宋体" w:eastAsia="宋体" w:hAnsi="宋体" w:cs="宋体"/>
          <w:color w:val="333333"/>
          <w:kern w:val="0"/>
          <w:sz w:val="24"/>
          <w:szCs w:val="24"/>
        </w:rPr>
        <w:t xml:space="preserve">　　还有一起通过私募产品“收益权拆分转让”概念，规避合格投资者标准的典型案例。“XX宝”为互联网金融平台，通过其网站、APP等形式提供所谓“收益权转让”服务。具体模式是，“XX宝”的运营商C公司通过其全资控股的D公司，作为合格投资者，先行购买相关私募产品；然后，由D公司将其持</w:t>
      </w:r>
      <w:r w:rsidRPr="001657AB">
        <w:rPr>
          <w:rFonts w:ascii="宋体" w:eastAsia="宋体" w:hAnsi="宋体" w:cs="宋体"/>
          <w:color w:val="333333"/>
          <w:kern w:val="0"/>
          <w:sz w:val="24"/>
          <w:szCs w:val="24"/>
        </w:rPr>
        <w:lastRenderedPageBreak/>
        <w:t>有的私募产品收益权拆分后，通过“XX宝”转让给注册用户，注册用户还可以通过“XX宝”再向其他注册用户转让收益权。“XX宝”设定的投资金额起点分别为1000元（固定收益类）和1万元（权益类）。此外，按照D公司和投资者签署的《收益权转让协议》约定，私募产品的风险和收益在转让后均由受让方即投资者承担。</w:t>
      </w:r>
      <w:proofErr w:type="gramStart"/>
      <w:r w:rsidRPr="001657AB">
        <w:rPr>
          <w:rFonts w:ascii="宋体" w:eastAsia="宋体" w:hAnsi="宋体" w:cs="宋体"/>
          <w:color w:val="333333"/>
          <w:kern w:val="0"/>
          <w:sz w:val="24"/>
          <w:szCs w:val="24"/>
        </w:rPr>
        <w:t>后某证监</w:t>
      </w:r>
      <w:proofErr w:type="gramEnd"/>
      <w:r w:rsidRPr="001657AB">
        <w:rPr>
          <w:rFonts w:ascii="宋体" w:eastAsia="宋体" w:hAnsi="宋体" w:cs="宋体"/>
          <w:color w:val="333333"/>
          <w:kern w:val="0"/>
          <w:sz w:val="24"/>
          <w:szCs w:val="24"/>
        </w:rPr>
        <w:t>局认定C公司违反《私募办法》规定，构成向非合格投资者开展私募业务、违规转让私募基金等私募产品份额、单只私募基金投资者人数超过法定上限等违法行为，并对C公司及其法定代表人、相关管理人员依法采取了行政监管措施。而本案涉及的许多投资者也遭受了不同程度的损失，该案也引发了多起投资者投诉。</w:t>
      </w:r>
    </w:p>
    <w:p w14:paraId="52050327" w14:textId="77777777" w:rsidR="001657AB" w:rsidRPr="001657AB" w:rsidRDefault="001657AB" w:rsidP="001657AB">
      <w:pPr>
        <w:widowControl/>
        <w:shd w:val="clear" w:color="auto" w:fill="FFFFFF"/>
        <w:spacing w:line="480" w:lineRule="auto"/>
        <w:jc w:val="left"/>
        <w:rPr>
          <w:rFonts w:ascii="宋体" w:eastAsia="宋体" w:hAnsi="宋体" w:cs="宋体"/>
          <w:color w:val="333333"/>
          <w:kern w:val="0"/>
          <w:sz w:val="24"/>
          <w:szCs w:val="24"/>
        </w:rPr>
      </w:pPr>
      <w:r w:rsidRPr="001657AB">
        <w:rPr>
          <w:rFonts w:ascii="宋体" w:eastAsia="宋体" w:hAnsi="宋体" w:cs="宋体"/>
          <w:color w:val="333333"/>
          <w:kern w:val="0"/>
          <w:sz w:val="24"/>
          <w:szCs w:val="24"/>
        </w:rPr>
        <w:t xml:space="preserve">　　私募基金产品具有高风险属性，需要具有一定风险识别能力和承担能力的投资者才能购买。而在上述案例中，相关投资者承担了超越自身能力的风险。如王某仅出资30万元就购买了要求投资门槛为100万元的私募基金产品；案例二中，私募产品拆分转让后，其风险均转移给了投资者。可以说，上述行为均降低了合格投资者门槛，让部分风险识别能力和风险承担能力较弱的投资者承担了本不应该承担的风险。</w:t>
      </w:r>
    </w:p>
    <w:p w14:paraId="2556BF58" w14:textId="77777777" w:rsidR="001657AB" w:rsidRPr="001657AB" w:rsidRDefault="001657AB" w:rsidP="001657AB">
      <w:pPr>
        <w:widowControl/>
        <w:shd w:val="clear" w:color="auto" w:fill="FFFFFF"/>
        <w:spacing w:line="480" w:lineRule="auto"/>
        <w:jc w:val="left"/>
        <w:rPr>
          <w:rFonts w:ascii="宋体" w:eastAsia="宋体" w:hAnsi="宋体" w:cs="宋体"/>
          <w:color w:val="333333"/>
          <w:kern w:val="0"/>
          <w:sz w:val="24"/>
          <w:szCs w:val="24"/>
        </w:rPr>
      </w:pPr>
      <w:r w:rsidRPr="001657AB">
        <w:rPr>
          <w:rFonts w:ascii="宋体" w:eastAsia="宋体" w:hAnsi="宋体" w:cs="宋体"/>
          <w:color w:val="333333"/>
          <w:kern w:val="0"/>
          <w:sz w:val="24"/>
          <w:szCs w:val="24"/>
        </w:rPr>
        <w:t xml:space="preserve">　　通过上述案例，提醒投资者要注意以下几个问题：</w:t>
      </w:r>
    </w:p>
    <w:p w14:paraId="0BF75416" w14:textId="77777777" w:rsidR="001657AB" w:rsidRPr="001657AB" w:rsidRDefault="001657AB" w:rsidP="001657AB">
      <w:pPr>
        <w:widowControl/>
        <w:shd w:val="clear" w:color="auto" w:fill="FFFFFF"/>
        <w:spacing w:line="480" w:lineRule="auto"/>
        <w:jc w:val="left"/>
        <w:rPr>
          <w:rFonts w:ascii="宋体" w:eastAsia="宋体" w:hAnsi="宋体" w:cs="宋体"/>
          <w:color w:val="333333"/>
          <w:kern w:val="0"/>
          <w:sz w:val="24"/>
          <w:szCs w:val="24"/>
        </w:rPr>
      </w:pPr>
      <w:r w:rsidRPr="001657AB">
        <w:rPr>
          <w:rFonts w:ascii="宋体" w:eastAsia="宋体" w:hAnsi="宋体" w:cs="宋体"/>
          <w:color w:val="333333"/>
          <w:kern w:val="0"/>
          <w:sz w:val="24"/>
          <w:szCs w:val="24"/>
        </w:rPr>
        <w:t xml:space="preserve">　　一、要量力而行。私募基金投资具有高风险的特点，对投资者风险识别能力和风险承受能力要求较高。《私募办法》也明确规定了私募基金合格投资者的要求，除单只私募基金投资额不低于100万元外，同时单位净资产不得低于1000万元，个人金融资产不得低于300万元或者最近三年个人年均收入不少于50万元。投资者要从自身实际出发，量力而行，对照私募基金合格投资者标</w:t>
      </w:r>
      <w:r w:rsidRPr="001657AB">
        <w:rPr>
          <w:rFonts w:ascii="宋体" w:eastAsia="宋体" w:hAnsi="宋体" w:cs="宋体"/>
          <w:color w:val="333333"/>
          <w:kern w:val="0"/>
          <w:sz w:val="24"/>
          <w:szCs w:val="24"/>
        </w:rPr>
        <w:lastRenderedPageBreak/>
        <w:t>准，判断自己是否能够投资私募基金产品，在满足合格投资者标准的前提下，再选择与自己风险承受能力相匹配的产品。</w:t>
      </w:r>
    </w:p>
    <w:p w14:paraId="2A617D8D" w14:textId="77777777" w:rsidR="001657AB" w:rsidRPr="001657AB" w:rsidRDefault="001657AB" w:rsidP="001657AB">
      <w:pPr>
        <w:widowControl/>
        <w:shd w:val="clear" w:color="auto" w:fill="FFFFFF"/>
        <w:spacing w:line="480" w:lineRule="auto"/>
        <w:jc w:val="left"/>
        <w:rPr>
          <w:rFonts w:ascii="宋体" w:eastAsia="宋体" w:hAnsi="宋体" w:cs="宋体"/>
          <w:color w:val="333333"/>
          <w:kern w:val="0"/>
          <w:sz w:val="24"/>
          <w:szCs w:val="24"/>
        </w:rPr>
      </w:pPr>
      <w:r w:rsidRPr="001657AB">
        <w:rPr>
          <w:rFonts w:ascii="宋体" w:eastAsia="宋体" w:hAnsi="宋体" w:cs="宋体"/>
          <w:color w:val="333333"/>
          <w:kern w:val="0"/>
          <w:sz w:val="24"/>
          <w:szCs w:val="24"/>
        </w:rPr>
        <w:t xml:space="preserve">　　二、要摸清底细。只有在基金业协会依法登记的私募基金管理人，才能向合格投资者募集资金。建议投资者在购买私募产品前，先通过基金业协会网站（</w:t>
      </w:r>
      <w:hyperlink r:id="rId4" w:history="1">
        <w:r w:rsidRPr="001657AB">
          <w:rPr>
            <w:rFonts w:ascii="宋体" w:eastAsia="宋体" w:hAnsi="宋体" w:cs="宋体"/>
            <w:color w:val="0066CC"/>
            <w:kern w:val="0"/>
            <w:sz w:val="24"/>
            <w:szCs w:val="24"/>
            <w:u w:val="single"/>
          </w:rPr>
          <w:t>www.amac.org.cn</w:t>
        </w:r>
      </w:hyperlink>
      <w:r w:rsidRPr="001657AB">
        <w:rPr>
          <w:rFonts w:ascii="宋体" w:eastAsia="宋体" w:hAnsi="宋体" w:cs="宋体"/>
          <w:color w:val="333333"/>
          <w:kern w:val="0"/>
          <w:sz w:val="24"/>
          <w:szCs w:val="24"/>
        </w:rPr>
        <w:t>），了解该机构是否已经在基金业协会登记，切忌通过非法渠道购买。同时，还可以多方了解私募基金管理人以往业绩情况、市场口碑以及诚信规范情况等。</w:t>
      </w:r>
    </w:p>
    <w:p w14:paraId="791A4E7B" w14:textId="77777777" w:rsidR="001657AB" w:rsidRPr="001657AB" w:rsidRDefault="001657AB" w:rsidP="001657AB">
      <w:pPr>
        <w:widowControl/>
        <w:shd w:val="clear" w:color="auto" w:fill="FFFFFF"/>
        <w:spacing w:line="480" w:lineRule="auto"/>
        <w:jc w:val="left"/>
        <w:rPr>
          <w:rFonts w:ascii="宋体" w:eastAsia="宋体" w:hAnsi="宋体" w:cs="宋体"/>
          <w:color w:val="333333"/>
          <w:kern w:val="0"/>
          <w:sz w:val="24"/>
          <w:szCs w:val="24"/>
        </w:rPr>
      </w:pPr>
      <w:r w:rsidRPr="001657AB">
        <w:rPr>
          <w:rFonts w:ascii="宋体" w:eastAsia="宋体" w:hAnsi="宋体" w:cs="宋体"/>
          <w:color w:val="333333"/>
          <w:kern w:val="0"/>
          <w:sz w:val="24"/>
          <w:szCs w:val="24"/>
        </w:rPr>
        <w:t xml:space="preserve">　　三、要细看合同。基金合同是规定投资者与私募基金管理人之间权利和义务的重要文书。建议投资者在查看合同时，注意合同是否符合基金业协会发布的《私募投资基金合同指引》，要注意合同约定的权利义务是否合理，合同是否完整、是否存在缺页漏页等异常情况，要仔细阅读条款，对于不懂的概念、模糊的表述应当要求基金管理人进行解释或说明，切勿被各种夸大、虚假宣传忽悠、蒙蔽。对一式多份的合同，还应检查每份合同内容是否完全一致。此外，还要特别警惕类似于案例二中C公司这样披着“金融创新”外衣的违规资金募集。投资者在通过互联网平台购买金融产品时，应仔细阅读相关产品介绍，了解买的是谁的产品、到底与谁签约、资金划到何处及具体投向等。如发现异常，应及时咨询基金业协会或监管部门。</w:t>
      </w:r>
    </w:p>
    <w:p w14:paraId="0141B0BC" w14:textId="77777777" w:rsidR="001657AB" w:rsidRPr="001657AB" w:rsidRDefault="001657AB" w:rsidP="001657AB">
      <w:pPr>
        <w:widowControl/>
        <w:shd w:val="clear" w:color="auto" w:fill="FFFFFF"/>
        <w:spacing w:line="480" w:lineRule="auto"/>
        <w:jc w:val="left"/>
        <w:rPr>
          <w:rFonts w:ascii="宋体" w:eastAsia="宋体" w:hAnsi="宋体" w:cs="宋体"/>
          <w:color w:val="333333"/>
          <w:kern w:val="0"/>
          <w:sz w:val="24"/>
          <w:szCs w:val="24"/>
        </w:rPr>
      </w:pPr>
      <w:r w:rsidRPr="001657AB">
        <w:rPr>
          <w:rFonts w:ascii="宋体" w:eastAsia="宋体" w:hAnsi="宋体" w:cs="宋体"/>
          <w:color w:val="333333"/>
          <w:kern w:val="0"/>
          <w:sz w:val="24"/>
          <w:szCs w:val="24"/>
        </w:rPr>
        <w:t xml:space="preserve">　　四、要持续关注。投资者在认购私募基金产品后，应当持续关注私募基金产品投资、运行情况，要求私募基金管理人按约定履行信息披露义务。投资者若发现管理人失联，基金财产被侵占、挪用，基金存在重大风险等情况，要及时向私募基金管理人注册地证监局或基金业协会反映；若发现私募基金管理人涉嫌诈骗、非法集资等犯罪线索的，要及时向公安、司法机关报案。</w:t>
      </w:r>
    </w:p>
    <w:p w14:paraId="7CD6DD38" w14:textId="6AEFE076" w:rsidR="005636FE" w:rsidRPr="00FC1073" w:rsidRDefault="001657AB" w:rsidP="00FC1073">
      <w:pPr>
        <w:widowControl/>
        <w:shd w:val="clear" w:color="auto" w:fill="FFFFFF"/>
        <w:spacing w:line="480" w:lineRule="auto"/>
        <w:jc w:val="left"/>
        <w:rPr>
          <w:rFonts w:ascii="宋体" w:eastAsia="宋体" w:hAnsi="宋体" w:cs="宋体" w:hint="eastAsia"/>
          <w:color w:val="333333"/>
          <w:kern w:val="0"/>
          <w:sz w:val="24"/>
          <w:szCs w:val="24"/>
        </w:rPr>
      </w:pPr>
      <w:r w:rsidRPr="001657AB">
        <w:rPr>
          <w:rFonts w:ascii="宋体" w:eastAsia="宋体" w:hAnsi="宋体" w:cs="宋体"/>
          <w:color w:val="333333"/>
          <w:kern w:val="0"/>
          <w:sz w:val="24"/>
          <w:szCs w:val="24"/>
        </w:rPr>
        <w:lastRenderedPageBreak/>
        <w:t xml:space="preserve">　　五、要定期学习私募知识。互联网技术的发展，使得金融业务不断创新。投资者在参与私募基金等风险较高的投资业务时，也要定期学习相关知识，比如浏览监管部门或基金业协会网站、阅读报刊杂志等。认真辨别相关业务或产品，切勿被所谓的创新产品、超高收益蒙骗，切记“你看中的是别人的收益，别人惦记的却是你的本金”。</w:t>
      </w:r>
    </w:p>
    <w:sectPr w:rsidR="005636FE" w:rsidRPr="00FC10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AB"/>
    <w:rsid w:val="00056993"/>
    <w:rsid w:val="001657AB"/>
    <w:rsid w:val="005636FE"/>
    <w:rsid w:val="00652847"/>
    <w:rsid w:val="00CA3B5B"/>
    <w:rsid w:val="00CD3408"/>
    <w:rsid w:val="00D940A5"/>
    <w:rsid w:val="00DE1C1F"/>
    <w:rsid w:val="00E64CEE"/>
    <w:rsid w:val="00F42E5F"/>
    <w:rsid w:val="00FB6CD3"/>
    <w:rsid w:val="00FC1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B330"/>
  <w15:chartTrackingRefBased/>
  <w15:docId w15:val="{A91316AE-76A3-4C25-B2A5-1C867D96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298611">
      <w:bodyDiv w:val="1"/>
      <w:marLeft w:val="0"/>
      <w:marRight w:val="0"/>
      <w:marTop w:val="0"/>
      <w:marBottom w:val="0"/>
      <w:divBdr>
        <w:top w:val="none" w:sz="0" w:space="0" w:color="auto"/>
        <w:left w:val="none" w:sz="0" w:space="0" w:color="auto"/>
        <w:bottom w:val="none" w:sz="0" w:space="0" w:color="auto"/>
        <w:right w:val="none" w:sz="0" w:space="0" w:color="auto"/>
      </w:divBdr>
      <w:divsChild>
        <w:div w:id="778574429">
          <w:marLeft w:val="0"/>
          <w:marRight w:val="0"/>
          <w:marTop w:val="0"/>
          <w:marBottom w:val="0"/>
          <w:divBdr>
            <w:top w:val="none" w:sz="0" w:space="0" w:color="auto"/>
            <w:left w:val="none" w:sz="0" w:space="0" w:color="auto"/>
            <w:bottom w:val="none" w:sz="0" w:space="0" w:color="auto"/>
            <w:right w:val="none" w:sz="0" w:space="0" w:color="auto"/>
          </w:divBdr>
          <w:divsChild>
            <w:div w:id="1086343011">
              <w:marLeft w:val="0"/>
              <w:marRight w:val="0"/>
              <w:marTop w:val="0"/>
              <w:marBottom w:val="0"/>
              <w:divBdr>
                <w:top w:val="none" w:sz="0" w:space="0" w:color="auto"/>
                <w:left w:val="none" w:sz="0" w:space="0" w:color="auto"/>
                <w:bottom w:val="none" w:sz="0" w:space="0" w:color="auto"/>
                <w:right w:val="none" w:sz="0" w:space="0" w:color="auto"/>
              </w:divBdr>
              <w:divsChild>
                <w:div w:id="1018628859">
                  <w:marLeft w:val="105"/>
                  <w:marRight w:val="105"/>
                  <w:marTop w:val="0"/>
                  <w:marBottom w:val="0"/>
                  <w:divBdr>
                    <w:top w:val="none" w:sz="0" w:space="0" w:color="auto"/>
                    <w:left w:val="none" w:sz="0" w:space="0" w:color="auto"/>
                    <w:bottom w:val="none" w:sz="0" w:space="0" w:color="auto"/>
                    <w:right w:val="none" w:sz="0" w:space="0" w:color="auto"/>
                  </w:divBdr>
                  <w:divsChild>
                    <w:div w:id="1963226612">
                      <w:marLeft w:val="0"/>
                      <w:marRight w:val="0"/>
                      <w:marTop w:val="0"/>
                      <w:marBottom w:val="0"/>
                      <w:divBdr>
                        <w:top w:val="none" w:sz="0" w:space="0" w:color="auto"/>
                        <w:left w:val="none" w:sz="0" w:space="0" w:color="auto"/>
                        <w:bottom w:val="none" w:sz="0" w:space="0" w:color="auto"/>
                        <w:right w:val="none" w:sz="0" w:space="0" w:color="auto"/>
                      </w:divBdr>
                      <w:divsChild>
                        <w:div w:id="493296918">
                          <w:marLeft w:val="0"/>
                          <w:marRight w:val="0"/>
                          <w:marTop w:val="0"/>
                          <w:marBottom w:val="0"/>
                          <w:divBdr>
                            <w:top w:val="none" w:sz="0" w:space="0" w:color="auto"/>
                            <w:left w:val="none" w:sz="0" w:space="0" w:color="auto"/>
                            <w:bottom w:val="single" w:sz="12" w:space="11" w:color="CCCCCC"/>
                            <w:right w:val="none" w:sz="0" w:space="0" w:color="auto"/>
                          </w:divBdr>
                        </w:div>
                        <w:div w:id="1552770364">
                          <w:marLeft w:val="0"/>
                          <w:marRight w:val="0"/>
                          <w:marTop w:val="0"/>
                          <w:marBottom w:val="300"/>
                          <w:divBdr>
                            <w:top w:val="none" w:sz="0" w:space="0" w:color="auto"/>
                            <w:left w:val="none" w:sz="0" w:space="0" w:color="auto"/>
                            <w:bottom w:val="none" w:sz="0" w:space="0" w:color="auto"/>
                            <w:right w:val="none" w:sz="0" w:space="0" w:color="auto"/>
                          </w:divBdr>
                        </w:div>
                        <w:div w:id="16969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mac.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潘 倩</dc:creator>
  <cp:keywords/>
  <dc:description/>
  <cp:lastModifiedBy>潘 倩</cp:lastModifiedBy>
  <cp:revision>3</cp:revision>
  <dcterms:created xsi:type="dcterms:W3CDTF">2020-09-09T03:27:00Z</dcterms:created>
  <dcterms:modified xsi:type="dcterms:W3CDTF">2020-09-09T03:47:00Z</dcterms:modified>
</cp:coreProperties>
</file>