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A242D" w14:textId="77777777" w:rsidR="00D5101D" w:rsidRPr="00D5101D" w:rsidRDefault="00D5101D" w:rsidP="00D5101D">
      <w:pPr>
        <w:widowControl/>
        <w:shd w:val="clear" w:color="auto" w:fill="FFFFFF"/>
        <w:spacing w:line="525" w:lineRule="atLeast"/>
        <w:jc w:val="center"/>
        <w:rPr>
          <w:rFonts w:ascii="宋体" w:eastAsia="宋体" w:hAnsi="宋体" w:cs="宋体"/>
          <w:b/>
          <w:bCs/>
          <w:color w:val="0C5CB1"/>
          <w:kern w:val="0"/>
          <w:sz w:val="36"/>
          <w:szCs w:val="36"/>
        </w:rPr>
      </w:pPr>
      <w:r w:rsidRPr="00D5101D">
        <w:rPr>
          <w:rFonts w:ascii="宋体" w:eastAsia="宋体" w:hAnsi="宋体" w:cs="宋体" w:hint="eastAsia"/>
          <w:b/>
          <w:bCs/>
          <w:color w:val="0C5CB1"/>
          <w:kern w:val="0"/>
          <w:sz w:val="36"/>
          <w:szCs w:val="36"/>
        </w:rPr>
        <w:t>“投资者保护·明规则、识风险”案例——慎防上市公司动机不纯的“高送转”</w:t>
      </w:r>
    </w:p>
    <w:p w14:paraId="234AD6BF" w14:textId="77777777" w:rsidR="00D5101D" w:rsidRPr="00D5101D" w:rsidRDefault="00D5101D" w:rsidP="00D5101D">
      <w:pPr>
        <w:widowControl/>
        <w:shd w:val="clear" w:color="auto" w:fill="FFFFFF"/>
        <w:spacing w:line="480" w:lineRule="auto"/>
        <w:jc w:val="center"/>
        <w:rPr>
          <w:rFonts w:ascii="宋体" w:eastAsia="宋体" w:hAnsi="宋体" w:cs="宋体"/>
          <w:color w:val="888888"/>
          <w:kern w:val="0"/>
          <w:szCs w:val="21"/>
        </w:rPr>
      </w:pPr>
      <w:r w:rsidRPr="00D5101D">
        <w:rPr>
          <w:rFonts w:ascii="宋体" w:eastAsia="宋体" w:hAnsi="宋体" w:cs="宋体"/>
          <w:color w:val="888888"/>
          <w:kern w:val="0"/>
          <w:szCs w:val="21"/>
        </w:rPr>
        <w:t xml:space="preserve">中国证监会 www.csrc.gov.cn 时间：2017-08-04 来源：上交所 </w:t>
      </w:r>
    </w:p>
    <w:p w14:paraId="091D35BB" w14:textId="77777777" w:rsidR="00D5101D" w:rsidRPr="00D5101D" w:rsidRDefault="00D5101D" w:rsidP="00D5101D">
      <w:pPr>
        <w:widowControl/>
        <w:shd w:val="clear" w:color="auto" w:fill="FFFFFF"/>
        <w:spacing w:line="480" w:lineRule="auto"/>
        <w:jc w:val="left"/>
        <w:rPr>
          <w:rFonts w:ascii="宋体" w:eastAsia="宋体" w:hAnsi="宋体" w:cs="宋体"/>
          <w:color w:val="333333"/>
          <w:kern w:val="0"/>
          <w:sz w:val="24"/>
          <w:szCs w:val="24"/>
        </w:rPr>
      </w:pPr>
      <w:r w:rsidRPr="00D5101D">
        <w:rPr>
          <w:rFonts w:ascii="宋体" w:eastAsia="宋体" w:hAnsi="宋体" w:cs="宋体"/>
          <w:color w:val="333333"/>
          <w:kern w:val="0"/>
          <w:sz w:val="24"/>
          <w:szCs w:val="24"/>
        </w:rPr>
        <w:t xml:space="preserve">　　作为备受市场关注的热点题材之一，“高送转”经常受到中小投资者的追捧。在A股市场上，有的上市公司选择在半年报、年报披露之前“慷慨”公告“10送20”，甚至“10送30”等“高送转”方案，借此大幅拉升股价，撩拨投资者的神经，把“高送转”异化成炒作题材或者配合大股东或内部人减持的“灵药”。</w:t>
      </w:r>
    </w:p>
    <w:p w14:paraId="40A30054" w14:textId="77777777" w:rsidR="00D5101D" w:rsidRPr="00D5101D" w:rsidRDefault="00D5101D" w:rsidP="00D5101D">
      <w:pPr>
        <w:widowControl/>
        <w:shd w:val="clear" w:color="auto" w:fill="FFFFFF"/>
        <w:spacing w:line="480" w:lineRule="auto"/>
        <w:jc w:val="left"/>
        <w:rPr>
          <w:rFonts w:ascii="宋体" w:eastAsia="宋体" w:hAnsi="宋体" w:cs="宋体"/>
          <w:color w:val="333333"/>
          <w:kern w:val="0"/>
          <w:sz w:val="24"/>
          <w:szCs w:val="24"/>
        </w:rPr>
      </w:pPr>
      <w:r w:rsidRPr="00D5101D">
        <w:rPr>
          <w:rFonts w:ascii="宋体" w:eastAsia="宋体" w:hAnsi="宋体" w:cs="宋体"/>
          <w:color w:val="333333"/>
          <w:kern w:val="0"/>
          <w:sz w:val="24"/>
          <w:szCs w:val="24"/>
        </w:rPr>
        <w:t xml:space="preserve">　　X公司就曾打出一套“‘高送转’+‘减持套现’+‘大额预亏’”的组合拳，引诱不知情的投资者为公司股价炒作和不当的“市值管理”买单。2015年初，X公司发布“高送转”预案，公司股东且兼任公司董事长和总经理的Y某及其他两位股东以“结合公司2014年实际经营状况，积极回报股东，与所有股东分享公司未来发展的经营成果”为由，提出并同意2014年度“高送转”的利润分配方案为“10转20”。同日，上述3位股东又共同披露了减持计划，套现逾20亿元。值得关注的是，公司股价在“高送转”消息发布前的短期内竟大涨近40%。</w:t>
      </w:r>
    </w:p>
    <w:p w14:paraId="48507599" w14:textId="77777777" w:rsidR="00D5101D" w:rsidRPr="00D5101D" w:rsidRDefault="00D5101D" w:rsidP="00D5101D">
      <w:pPr>
        <w:widowControl/>
        <w:shd w:val="clear" w:color="auto" w:fill="FFFFFF"/>
        <w:spacing w:line="480" w:lineRule="auto"/>
        <w:jc w:val="left"/>
        <w:rPr>
          <w:rFonts w:ascii="宋体" w:eastAsia="宋体" w:hAnsi="宋体" w:cs="宋体"/>
          <w:color w:val="333333"/>
          <w:kern w:val="0"/>
          <w:sz w:val="24"/>
          <w:szCs w:val="24"/>
        </w:rPr>
      </w:pPr>
      <w:r w:rsidRPr="00D5101D">
        <w:rPr>
          <w:rFonts w:ascii="宋体" w:eastAsia="宋体" w:hAnsi="宋体" w:cs="宋体"/>
          <w:color w:val="333333"/>
          <w:kern w:val="0"/>
          <w:sz w:val="24"/>
          <w:szCs w:val="24"/>
        </w:rPr>
        <w:t xml:space="preserve">　　但是，仅几日后，X公司发布了8亿元预亏公告并同时预警，由于2013年度已出现亏损，若2014年续亏，公司股票可能被实施退</w:t>
      </w:r>
      <w:proofErr w:type="gramStart"/>
      <w:r w:rsidRPr="00D5101D">
        <w:rPr>
          <w:rFonts w:ascii="宋体" w:eastAsia="宋体" w:hAnsi="宋体" w:cs="宋体"/>
          <w:color w:val="333333"/>
          <w:kern w:val="0"/>
          <w:sz w:val="24"/>
          <w:szCs w:val="24"/>
        </w:rPr>
        <w:t>市风险</w:t>
      </w:r>
      <w:proofErr w:type="gramEnd"/>
      <w:r w:rsidRPr="00D5101D">
        <w:rPr>
          <w:rFonts w:ascii="宋体" w:eastAsia="宋体" w:hAnsi="宋体" w:cs="宋体"/>
          <w:color w:val="333333"/>
          <w:kern w:val="0"/>
          <w:sz w:val="24"/>
          <w:szCs w:val="24"/>
        </w:rPr>
        <w:t>警示。一石激起千层浪，该上市公司对业绩预判的前后矛盾及毫无征兆</w:t>
      </w:r>
      <w:proofErr w:type="gramStart"/>
      <w:r w:rsidRPr="00D5101D">
        <w:rPr>
          <w:rFonts w:ascii="宋体" w:eastAsia="宋体" w:hAnsi="宋体" w:cs="宋体"/>
          <w:color w:val="333333"/>
          <w:kern w:val="0"/>
          <w:sz w:val="24"/>
          <w:szCs w:val="24"/>
        </w:rPr>
        <w:t>的巨亏震惊</w:t>
      </w:r>
      <w:proofErr w:type="gramEnd"/>
      <w:r w:rsidRPr="00D5101D">
        <w:rPr>
          <w:rFonts w:ascii="宋体" w:eastAsia="宋体" w:hAnsi="宋体" w:cs="宋体"/>
          <w:color w:val="333333"/>
          <w:kern w:val="0"/>
          <w:sz w:val="24"/>
          <w:szCs w:val="24"/>
        </w:rPr>
        <w:t>了市场上的投资者，公司股价出现大幅波动，成为“高送转”误导投资者并造成损失的典型案例。根据律师粗略统计，截至目前，针对X公司的诉讼已涉及400名左右的投资者，索赔标的在8000万元到1亿元之间。</w:t>
      </w:r>
    </w:p>
    <w:p w14:paraId="51BC5BAD" w14:textId="77777777" w:rsidR="00D5101D" w:rsidRPr="00D5101D" w:rsidRDefault="00D5101D" w:rsidP="00D5101D">
      <w:pPr>
        <w:widowControl/>
        <w:shd w:val="clear" w:color="auto" w:fill="FFFFFF"/>
        <w:spacing w:line="480" w:lineRule="auto"/>
        <w:jc w:val="left"/>
        <w:rPr>
          <w:rFonts w:ascii="宋体" w:eastAsia="宋体" w:hAnsi="宋体" w:cs="宋体"/>
          <w:color w:val="333333"/>
          <w:kern w:val="0"/>
          <w:sz w:val="24"/>
          <w:szCs w:val="24"/>
        </w:rPr>
      </w:pPr>
      <w:r w:rsidRPr="00D5101D">
        <w:rPr>
          <w:rFonts w:ascii="宋体" w:eastAsia="宋体" w:hAnsi="宋体" w:cs="宋体"/>
          <w:color w:val="333333"/>
          <w:kern w:val="0"/>
          <w:sz w:val="24"/>
          <w:szCs w:val="24"/>
        </w:rPr>
        <w:lastRenderedPageBreak/>
        <w:t xml:space="preserve">　　Y某作为X公司的股东，同时兼任公司董事长和总经理，在提出并审议“高送转”等相关利润分配提议时，应当知悉或主动核实公司经营情况，并据以判断利润分配提议及相关披露内容是否与公司实际经营情况相符。事实上，X公司发布的“高送转”预案相关披露内容与公司数日后公告的业绩预</w:t>
      </w:r>
      <w:proofErr w:type="gramStart"/>
      <w:r w:rsidRPr="00D5101D">
        <w:rPr>
          <w:rFonts w:ascii="宋体" w:eastAsia="宋体" w:hAnsi="宋体" w:cs="宋体"/>
          <w:color w:val="333333"/>
          <w:kern w:val="0"/>
          <w:sz w:val="24"/>
          <w:szCs w:val="24"/>
        </w:rPr>
        <w:t>亏情况</w:t>
      </w:r>
      <w:proofErr w:type="gramEnd"/>
      <w:r w:rsidRPr="00D5101D">
        <w:rPr>
          <w:rFonts w:ascii="宋体" w:eastAsia="宋体" w:hAnsi="宋体" w:cs="宋体"/>
          <w:color w:val="333333"/>
          <w:kern w:val="0"/>
          <w:sz w:val="24"/>
          <w:szCs w:val="24"/>
        </w:rPr>
        <w:t>明显不符，对投资者的判断产生了重大影响。Y某未勤勉尽责，其上述行为严重违反了《上海证券交易所股票上市规则》和《上海证券交易所上市公司董事选任与行为指引》的相关规定。上交所对Y某予以公开谴责，并对其他两位股东和时任董事予以通报批评。</w:t>
      </w:r>
    </w:p>
    <w:p w14:paraId="4215E7AB" w14:textId="77777777" w:rsidR="00D5101D" w:rsidRPr="00D5101D" w:rsidRDefault="00D5101D" w:rsidP="00D5101D">
      <w:pPr>
        <w:widowControl/>
        <w:shd w:val="clear" w:color="auto" w:fill="FFFFFF"/>
        <w:spacing w:line="480" w:lineRule="auto"/>
        <w:jc w:val="left"/>
        <w:rPr>
          <w:rFonts w:ascii="宋体" w:eastAsia="宋体" w:hAnsi="宋体" w:cs="宋体"/>
          <w:color w:val="333333"/>
          <w:kern w:val="0"/>
          <w:sz w:val="24"/>
          <w:szCs w:val="24"/>
        </w:rPr>
      </w:pPr>
      <w:r w:rsidRPr="00D5101D">
        <w:rPr>
          <w:rFonts w:ascii="宋体" w:eastAsia="宋体" w:hAnsi="宋体" w:cs="宋体"/>
          <w:color w:val="333333"/>
          <w:kern w:val="0"/>
          <w:sz w:val="24"/>
          <w:szCs w:val="24"/>
        </w:rPr>
        <w:t xml:space="preserve">　　同时，“高送转”的背后还可能伴生内幕交易、市场操纵等违法违规行为。中国证监会也曾就X公司相关责任人在知悉公司真实财务状况的情形下，利用“高送转”配合大比例减</w:t>
      </w:r>
      <w:proofErr w:type="gramStart"/>
      <w:r w:rsidRPr="00D5101D">
        <w:rPr>
          <w:rFonts w:ascii="宋体" w:eastAsia="宋体" w:hAnsi="宋体" w:cs="宋体"/>
          <w:color w:val="333333"/>
          <w:kern w:val="0"/>
          <w:sz w:val="24"/>
          <w:szCs w:val="24"/>
        </w:rPr>
        <w:t>持过程</w:t>
      </w:r>
      <w:proofErr w:type="gramEnd"/>
      <w:r w:rsidRPr="00D5101D">
        <w:rPr>
          <w:rFonts w:ascii="宋体" w:eastAsia="宋体" w:hAnsi="宋体" w:cs="宋体"/>
          <w:color w:val="333333"/>
          <w:kern w:val="0"/>
          <w:sz w:val="24"/>
          <w:szCs w:val="24"/>
        </w:rPr>
        <w:t>中的内幕交易违法行为</w:t>
      </w:r>
      <w:proofErr w:type="gramStart"/>
      <w:r w:rsidRPr="00D5101D">
        <w:rPr>
          <w:rFonts w:ascii="宋体" w:eastAsia="宋体" w:hAnsi="宋体" w:cs="宋体"/>
          <w:color w:val="333333"/>
          <w:kern w:val="0"/>
          <w:sz w:val="24"/>
          <w:szCs w:val="24"/>
        </w:rPr>
        <w:t>作出</w:t>
      </w:r>
      <w:proofErr w:type="gramEnd"/>
      <w:r w:rsidRPr="00D5101D">
        <w:rPr>
          <w:rFonts w:ascii="宋体" w:eastAsia="宋体" w:hAnsi="宋体" w:cs="宋体"/>
          <w:color w:val="333333"/>
          <w:kern w:val="0"/>
          <w:sz w:val="24"/>
          <w:szCs w:val="24"/>
        </w:rPr>
        <w:t>了罚款、没收违法所得、警告及证券市场禁入的行政处罚。</w:t>
      </w:r>
    </w:p>
    <w:p w14:paraId="5D657392" w14:textId="77777777" w:rsidR="00D5101D" w:rsidRPr="00D5101D" w:rsidRDefault="00D5101D" w:rsidP="00D5101D">
      <w:pPr>
        <w:widowControl/>
        <w:shd w:val="clear" w:color="auto" w:fill="FFFFFF"/>
        <w:spacing w:line="480" w:lineRule="auto"/>
        <w:jc w:val="left"/>
        <w:rPr>
          <w:rFonts w:ascii="宋体" w:eastAsia="宋体" w:hAnsi="宋体" w:cs="宋体"/>
          <w:color w:val="333333"/>
          <w:kern w:val="0"/>
          <w:sz w:val="24"/>
          <w:szCs w:val="24"/>
        </w:rPr>
      </w:pPr>
      <w:r w:rsidRPr="00D5101D">
        <w:rPr>
          <w:rFonts w:ascii="宋体" w:eastAsia="宋体" w:hAnsi="宋体" w:cs="宋体"/>
          <w:color w:val="333333"/>
          <w:kern w:val="0"/>
          <w:sz w:val="24"/>
          <w:szCs w:val="24"/>
        </w:rPr>
        <w:t xml:space="preserve">　　市场上的确存在上市公司“动机不纯”，利用“高送转”配合股东减持、限售股解禁，也有少数公司在由盈转亏甚至业绩恶化的情况下强推“高送转”方案。对此，为保护投资者的知情权，监管部门全面强化“高送转”一线监管，对于披露“高送转”预案的公司，按照分类监管、事中监管、刨根问底“三位一体”的监管模式，严把信息披露审核第一关。</w:t>
      </w:r>
    </w:p>
    <w:p w14:paraId="180F89D3" w14:textId="77777777" w:rsidR="00D5101D" w:rsidRPr="00D5101D" w:rsidRDefault="00D5101D" w:rsidP="00D5101D">
      <w:pPr>
        <w:widowControl/>
        <w:shd w:val="clear" w:color="auto" w:fill="FFFFFF"/>
        <w:spacing w:line="480" w:lineRule="auto"/>
        <w:jc w:val="left"/>
        <w:rPr>
          <w:rFonts w:ascii="宋体" w:eastAsia="宋体" w:hAnsi="宋体" w:cs="宋体"/>
          <w:color w:val="333333"/>
          <w:kern w:val="0"/>
          <w:sz w:val="24"/>
          <w:szCs w:val="24"/>
        </w:rPr>
      </w:pPr>
      <w:r w:rsidRPr="00D5101D">
        <w:rPr>
          <w:rFonts w:ascii="宋体" w:eastAsia="宋体" w:hAnsi="宋体" w:cs="宋体"/>
          <w:color w:val="333333"/>
          <w:kern w:val="0"/>
          <w:sz w:val="24"/>
          <w:szCs w:val="24"/>
        </w:rPr>
        <w:t xml:space="preserve">　　作为中小投资者，为避免落入“高送转”的陷阱，要对“高送转”的本质有更加清醒和深刻的认识。“高送转”实质上是股东权益的内部结构调整，“高送转”后公司股本总数虽然扩大了，但对净资产收益率没有影响，公司的盈利能力不会有任何实质性的提升，投资者的股东权益也不会因此而增加。在这里提示投资者，不要被这种“数字游戏”迷惑。</w:t>
      </w:r>
    </w:p>
    <w:p w14:paraId="584E75AC" w14:textId="4F879211" w:rsidR="005636FE" w:rsidRPr="00626612" w:rsidRDefault="00D5101D" w:rsidP="00626612">
      <w:pPr>
        <w:widowControl/>
        <w:shd w:val="clear" w:color="auto" w:fill="FFFFFF"/>
        <w:spacing w:line="480" w:lineRule="auto"/>
        <w:jc w:val="left"/>
        <w:rPr>
          <w:rFonts w:ascii="宋体" w:eastAsia="宋体" w:hAnsi="宋体" w:cs="宋体" w:hint="eastAsia"/>
          <w:color w:val="333333"/>
          <w:kern w:val="0"/>
          <w:sz w:val="24"/>
          <w:szCs w:val="24"/>
        </w:rPr>
      </w:pPr>
      <w:r w:rsidRPr="00D5101D">
        <w:rPr>
          <w:rFonts w:ascii="宋体" w:eastAsia="宋体" w:hAnsi="宋体" w:cs="宋体"/>
          <w:color w:val="333333"/>
          <w:kern w:val="0"/>
          <w:sz w:val="24"/>
          <w:szCs w:val="24"/>
        </w:rPr>
        <w:lastRenderedPageBreak/>
        <w:t xml:space="preserve">　　此外，与业绩不相匹配的“高送转”往往是股价炒作、股东减持的“重灾区”。在上市公司正式公告“高送转”预案时，投资者还要重点关注公司“高送转”背后的真实目的，综合考虑公司发展战略、经营业绩等，分析“高送转”的合理性，避免盲目跟风。</w:t>
      </w:r>
    </w:p>
    <w:sectPr w:rsidR="005636FE" w:rsidRPr="006266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1D"/>
    <w:rsid w:val="00056993"/>
    <w:rsid w:val="005636FE"/>
    <w:rsid w:val="00626612"/>
    <w:rsid w:val="00652847"/>
    <w:rsid w:val="00CA3B5B"/>
    <w:rsid w:val="00CD3408"/>
    <w:rsid w:val="00D5101D"/>
    <w:rsid w:val="00D940A5"/>
    <w:rsid w:val="00DE1C1F"/>
    <w:rsid w:val="00E64CEE"/>
    <w:rsid w:val="00F42E5F"/>
    <w:rsid w:val="00FB6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0DA4C"/>
  <w15:chartTrackingRefBased/>
  <w15:docId w15:val="{F187CC47-8C10-44B9-9BEE-CF3EFF899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0312024">
      <w:bodyDiv w:val="1"/>
      <w:marLeft w:val="0"/>
      <w:marRight w:val="0"/>
      <w:marTop w:val="0"/>
      <w:marBottom w:val="0"/>
      <w:divBdr>
        <w:top w:val="none" w:sz="0" w:space="0" w:color="auto"/>
        <w:left w:val="none" w:sz="0" w:space="0" w:color="auto"/>
        <w:bottom w:val="none" w:sz="0" w:space="0" w:color="auto"/>
        <w:right w:val="none" w:sz="0" w:space="0" w:color="auto"/>
      </w:divBdr>
      <w:divsChild>
        <w:div w:id="327483710">
          <w:marLeft w:val="0"/>
          <w:marRight w:val="0"/>
          <w:marTop w:val="0"/>
          <w:marBottom w:val="0"/>
          <w:divBdr>
            <w:top w:val="none" w:sz="0" w:space="0" w:color="auto"/>
            <w:left w:val="none" w:sz="0" w:space="0" w:color="auto"/>
            <w:bottom w:val="none" w:sz="0" w:space="0" w:color="auto"/>
            <w:right w:val="none" w:sz="0" w:space="0" w:color="auto"/>
          </w:divBdr>
          <w:divsChild>
            <w:div w:id="160896719">
              <w:marLeft w:val="0"/>
              <w:marRight w:val="0"/>
              <w:marTop w:val="0"/>
              <w:marBottom w:val="0"/>
              <w:divBdr>
                <w:top w:val="none" w:sz="0" w:space="0" w:color="auto"/>
                <w:left w:val="none" w:sz="0" w:space="0" w:color="auto"/>
                <w:bottom w:val="none" w:sz="0" w:space="0" w:color="auto"/>
                <w:right w:val="none" w:sz="0" w:space="0" w:color="auto"/>
              </w:divBdr>
              <w:divsChild>
                <w:div w:id="735861550">
                  <w:marLeft w:val="105"/>
                  <w:marRight w:val="105"/>
                  <w:marTop w:val="0"/>
                  <w:marBottom w:val="0"/>
                  <w:divBdr>
                    <w:top w:val="none" w:sz="0" w:space="0" w:color="auto"/>
                    <w:left w:val="none" w:sz="0" w:space="0" w:color="auto"/>
                    <w:bottom w:val="none" w:sz="0" w:space="0" w:color="auto"/>
                    <w:right w:val="none" w:sz="0" w:space="0" w:color="auto"/>
                  </w:divBdr>
                  <w:divsChild>
                    <w:div w:id="1029184115">
                      <w:marLeft w:val="0"/>
                      <w:marRight w:val="0"/>
                      <w:marTop w:val="0"/>
                      <w:marBottom w:val="0"/>
                      <w:divBdr>
                        <w:top w:val="none" w:sz="0" w:space="0" w:color="auto"/>
                        <w:left w:val="none" w:sz="0" w:space="0" w:color="auto"/>
                        <w:bottom w:val="none" w:sz="0" w:space="0" w:color="auto"/>
                        <w:right w:val="none" w:sz="0" w:space="0" w:color="auto"/>
                      </w:divBdr>
                      <w:divsChild>
                        <w:div w:id="499807996">
                          <w:marLeft w:val="0"/>
                          <w:marRight w:val="0"/>
                          <w:marTop w:val="0"/>
                          <w:marBottom w:val="0"/>
                          <w:divBdr>
                            <w:top w:val="none" w:sz="0" w:space="0" w:color="auto"/>
                            <w:left w:val="none" w:sz="0" w:space="0" w:color="auto"/>
                            <w:bottom w:val="single" w:sz="12" w:space="11" w:color="CCCCCC"/>
                            <w:right w:val="none" w:sz="0" w:space="0" w:color="auto"/>
                          </w:divBdr>
                        </w:div>
                        <w:div w:id="1520509846">
                          <w:marLeft w:val="0"/>
                          <w:marRight w:val="0"/>
                          <w:marTop w:val="0"/>
                          <w:marBottom w:val="300"/>
                          <w:divBdr>
                            <w:top w:val="none" w:sz="0" w:space="0" w:color="auto"/>
                            <w:left w:val="none" w:sz="0" w:space="0" w:color="auto"/>
                            <w:bottom w:val="none" w:sz="0" w:space="0" w:color="auto"/>
                            <w:right w:val="none" w:sz="0" w:space="0" w:color="auto"/>
                          </w:divBdr>
                        </w:div>
                        <w:div w:id="319625806">
                          <w:marLeft w:val="0"/>
                          <w:marRight w:val="0"/>
                          <w:marTop w:val="0"/>
                          <w:marBottom w:val="0"/>
                          <w:divBdr>
                            <w:top w:val="none" w:sz="0" w:space="0" w:color="auto"/>
                            <w:left w:val="none" w:sz="0" w:space="0" w:color="auto"/>
                            <w:bottom w:val="none" w:sz="0" w:space="0" w:color="auto"/>
                            <w:right w:val="none" w:sz="0" w:space="0" w:color="auto"/>
                          </w:divBdr>
                          <w:divsChild>
                            <w:div w:id="9492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 倩</dc:creator>
  <cp:keywords/>
  <dc:description/>
  <cp:lastModifiedBy>潘 倩</cp:lastModifiedBy>
  <cp:revision>3</cp:revision>
  <dcterms:created xsi:type="dcterms:W3CDTF">2020-09-09T03:31:00Z</dcterms:created>
  <dcterms:modified xsi:type="dcterms:W3CDTF">2020-09-09T03:50:00Z</dcterms:modified>
</cp:coreProperties>
</file>